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射频皮肤治疗仪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  <w:t>射频皮肤治疗仪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适用范围：通过射频能量对皮肤组织产生的热效应，用于面部皮肤萎缩性痤疮瘢痕的治疗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2.具备NMPA第三类医疗器械注册证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3.输出功率：2-50W可调，步进2W，误差±20%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4.输出频率：1MHz；误差±10%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5.输出模式：连续模式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▲6.脉宽间隔可调：自动/非自动，0.5/0.8/1.0/1.5/2.0可选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7.脉宽：10ms-400ms连续可调，步进10ms，误差±10%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治疗模式：单极、双极、单双极综合三种模式可选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治疗深度：0.5-2.5mm可调；步进为0.1mm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可选配3种治疗电极：面部治疗电极、眼周治疗电极、颈纹治疗电极，并具备独立医疗器械注册证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具备负压功能，负压吸力可手动调节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可搭配负压、非负压两种类型的电极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.具有能量累计自动计数功能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.具备外接电极负极板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.电极安装后应能自动识别电极型号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.治疗过程中具备监控组织阻抗、皮肤表面温度功能，当皮肤温度达到临界时，停止传输射频能量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.主机支架具有状态指示灯功能，设备射频输出时应有声、光提示，且能区别是报警提示声响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.具有IPX8防水脚踏开关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具备无序扫描技术：每两根针一组无序分组发射能量，能量分布均匀，只需极短的加热时间即可获得显著的临床效果，治疗更舒适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具备分层治疗技术：每发治疗，可根据临床个性化治疗需求，设置1-5个深度层次进行射频能量发射，每个层次均可单独调节脉宽与能量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具备智慧电机技术：更快的出针速度，配备阻力智能反馈，自动调整推力、自动补偿进针深度，保证治疗深度和设定深度的一致性，精准度高，疗效更好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具备智能负压技术：针对眼周、颈部等松软皮肤，能够精准安全治疗。负压值可个性化设置，智能检测，达到预设负压值自动出针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具备高能超脉冲技术：将射频能量分解为0.2ms的脉冲串进行输出，控制单次治疗脉冲总时长在30ms的痛觉阈值内，提升治疗舒适度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0578E5-138F-4672-894D-F866C27719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3BA8D66-DD0A-488A-9E55-C95A65C6447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977E85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5380F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749</Words>
  <Characters>857</Characters>
  <Lines>42</Lines>
  <Paragraphs>11</Paragraphs>
  <TotalTime>11</TotalTime>
  <ScaleCrop>false</ScaleCrop>
  <LinksUpToDate>false</LinksUpToDate>
  <CharactersWithSpaces>857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2026-09-02T07:04:42Z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